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393" w:val="left" w:leader="none"/>
        </w:tabs>
        <w:spacing w:before="182"/>
        <w:ind w:left="4706" w:right="0" w:firstLine="0"/>
        <w:jc w:val="left"/>
        <w:rPr>
          <w:b/>
          <w:sz w:val="22"/>
        </w:rPr>
      </w:pPr>
      <w:r>
        <w:rPr/>
        <w:drawing>
          <wp:anchor distT="0" distB="0" distL="0" distR="0" allowOverlap="1" layoutInCell="1" locked="0" behindDoc="0" simplePos="0" relativeHeight="1192">
            <wp:simplePos x="0" y="0"/>
            <wp:positionH relativeFrom="page">
              <wp:posOffset>864108</wp:posOffset>
            </wp:positionH>
            <wp:positionV relativeFrom="paragraph">
              <wp:posOffset>4865</wp:posOffset>
            </wp:positionV>
            <wp:extent cx="2612008" cy="546811"/>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12008" cy="546811"/>
                    </a:xfrm>
                    <a:prstGeom prst="rect">
                      <a:avLst/>
                    </a:prstGeom>
                  </pic:spPr>
                </pic:pic>
              </a:graphicData>
            </a:graphic>
          </wp:anchor>
        </w:drawing>
      </w:r>
      <w:r>
        <w:rPr>
          <w:b/>
          <w:w w:val="100"/>
          <w:sz w:val="22"/>
          <w:u w:val="single" w:color="900000"/>
        </w:rPr>
        <w:t> </w:t>
      </w:r>
      <w:r>
        <w:rPr>
          <w:b/>
          <w:sz w:val="22"/>
          <w:u w:val="single" w:color="900000"/>
        </w:rPr>
        <w:tab/>
        <w:t>EPOXY</w:t>
      </w:r>
      <w:r>
        <w:rPr>
          <w:b/>
          <w:spacing w:val="-2"/>
          <w:sz w:val="22"/>
          <w:u w:val="single" w:color="900000"/>
        </w:rPr>
        <w:t> </w:t>
      </w:r>
      <w:r>
        <w:rPr>
          <w:b/>
          <w:sz w:val="22"/>
          <w:u w:val="single" w:color="900000"/>
        </w:rPr>
        <w:t>ADHESIVE</w:t>
      </w:r>
    </w:p>
    <w:p>
      <w:pPr>
        <w:pStyle w:val="BodyText"/>
        <w:rPr>
          <w:b/>
          <w:sz w:val="20"/>
        </w:rPr>
      </w:pPr>
    </w:p>
    <w:p>
      <w:pPr>
        <w:pStyle w:val="BodyText"/>
        <w:spacing w:before="5"/>
        <w:rPr>
          <w:b/>
          <w:sz w:val="18"/>
        </w:rPr>
      </w:pPr>
    </w:p>
    <w:p>
      <w:pPr>
        <w:spacing w:after="0"/>
        <w:rPr>
          <w:sz w:val="18"/>
        </w:rPr>
        <w:sectPr>
          <w:type w:val="continuous"/>
          <w:pgSz w:w="12240" w:h="15840"/>
          <w:pgMar w:top="1140" w:bottom="280" w:left="1220" w:right="1280"/>
        </w:sectPr>
      </w:pPr>
    </w:p>
    <w:p>
      <w:pPr>
        <w:spacing w:before="102"/>
        <w:ind w:left="176" w:right="0" w:firstLine="0"/>
        <w:jc w:val="left"/>
        <w:rPr>
          <w:b/>
          <w:sz w:val="24"/>
        </w:rPr>
      </w:pPr>
      <w:r>
        <w:rPr>
          <w:b/>
          <w:sz w:val="24"/>
        </w:rPr>
        <w:t>EPOXY 021906-1T</w:t>
      </w:r>
    </w:p>
    <w:p>
      <w:pPr>
        <w:pStyle w:val="BodyText"/>
        <w:rPr>
          <w:b/>
          <w:sz w:val="20"/>
        </w:rPr>
      </w:pPr>
      <w:r>
        <w:rPr/>
        <w:br w:type="column"/>
      </w:r>
      <w:r>
        <w:rPr>
          <w:b/>
          <w:sz w:val="20"/>
        </w:rPr>
      </w:r>
    </w:p>
    <w:p>
      <w:pPr>
        <w:spacing w:before="174"/>
        <w:ind w:left="137" w:right="0" w:firstLine="0"/>
        <w:jc w:val="left"/>
        <w:rPr>
          <w:b/>
          <w:sz w:val="17"/>
        </w:rPr>
      </w:pPr>
      <w:r>
        <w:rPr>
          <w:b/>
          <w:w w:val="105"/>
          <w:sz w:val="17"/>
        </w:rPr>
        <w:t>HIGH THERMAL K EPOXY ENCAPSULANT</w:t>
      </w:r>
    </w:p>
    <w:p>
      <w:pPr>
        <w:spacing w:after="0"/>
        <w:jc w:val="left"/>
        <w:rPr>
          <w:sz w:val="17"/>
        </w:rPr>
        <w:sectPr>
          <w:type w:val="continuous"/>
          <w:pgSz w:w="12240" w:h="15840"/>
          <w:pgMar w:top="1140" w:bottom="280" w:left="1220" w:right="1280"/>
          <w:cols w:num="2" w:equalWidth="0">
            <w:col w:w="2662" w:space="40"/>
            <w:col w:w="7038"/>
          </w:cols>
        </w:sectPr>
      </w:pPr>
    </w:p>
    <w:p>
      <w:pPr>
        <w:pStyle w:val="BodyText"/>
        <w:ind w:left="119"/>
        <w:rPr>
          <w:sz w:val="20"/>
        </w:rPr>
      </w:pPr>
      <w:r>
        <w:rPr>
          <w:sz w:val="20"/>
        </w:rPr>
        <w:pict>
          <v:group style="width:475.6pt;height:19.350pt;mso-position-horizontal-relative:char;mso-position-vertical-relative:line" coordorigin="0,0" coordsize="9512,387">
            <v:line style="position:absolute" from="5,0" to="5,322" stroked="true" strokeweight=".48pt" strokecolor="#000000">
              <v:stroke dashstyle="solid"/>
            </v:line>
            <v:line style="position:absolute" from="5,382" to="9511,382" stroked="true" strokeweight=".48pt" strokecolor="#900000">
              <v:stroke dashstyle="solid"/>
            </v:line>
            <v:shapetype id="_x0000_t202" o:spt="202" coordsize="21600,21600" path="m,l,21600r21600,l21600,xe">
              <v:stroke joinstyle="miter"/>
              <v:path gradientshapeok="t" o:connecttype="rect"/>
            </v:shapetype>
            <v:shape style="position:absolute;left:9;top:0;width:9502;height:323" type="#_x0000_t202" filled="true" fillcolor="#dd0805" stroked="false">
              <v:textbox inset="0,0,0,0">
                <w:txbxContent>
                  <w:p>
                    <w:pPr>
                      <w:spacing w:before="52"/>
                      <w:ind w:left="35" w:right="0" w:firstLine="0"/>
                      <w:jc w:val="left"/>
                      <w:rPr>
                        <w:b/>
                        <w:sz w:val="17"/>
                      </w:rPr>
                    </w:pPr>
                    <w:r>
                      <w:rPr>
                        <w:b/>
                        <w:color w:val="FFFFFF"/>
                        <w:w w:val="105"/>
                        <w:sz w:val="17"/>
                      </w:rPr>
                      <w:t>TECHNICAL DATA</w:t>
                    </w:r>
                  </w:p>
                </w:txbxContent>
              </v:textbox>
              <v:fill type="solid"/>
              <w10:wrap type="none"/>
            </v:shape>
          </v:group>
        </w:pict>
      </w:r>
      <w:r>
        <w:rPr>
          <w:sz w:val="20"/>
        </w:rPr>
      </w:r>
    </w:p>
    <w:p>
      <w:pPr>
        <w:spacing w:before="30"/>
        <w:ind w:left="160" w:right="0" w:firstLine="0"/>
        <w:jc w:val="left"/>
        <w:rPr>
          <w:b/>
          <w:sz w:val="14"/>
        </w:rPr>
      </w:pPr>
      <w:r>
        <w:rPr>
          <w:b/>
          <w:w w:val="105"/>
          <w:sz w:val="14"/>
        </w:rPr>
        <w:t>Product Description</w:t>
      </w:r>
    </w:p>
    <w:p>
      <w:pPr>
        <w:pStyle w:val="BodyText"/>
        <w:spacing w:line="259" w:lineRule="auto" w:before="27"/>
        <w:ind w:left="155" w:right="192"/>
      </w:pPr>
      <w:r>
        <w:rPr/>
        <w:t>Epoxy 021906-1T is a room temperature curing two part epoxy system designed to be used to encapsulate electronic packages. This product has been formulated so as to provide the user with an easy to work with one to one by volume mix ratio. Once encapsulated with the Epoxy 021906-1T an electronic package will exhibit a higher resistance to both physical shock as well as exposure to water and other potentially harmful chemicals.</w:t>
      </w:r>
    </w:p>
    <w:p>
      <w:pPr>
        <w:pStyle w:val="BodyText"/>
        <w:spacing w:before="8"/>
        <w:rPr>
          <w:sz w:val="9"/>
        </w:rPr>
      </w:pPr>
    </w:p>
    <w:p>
      <w:pPr>
        <w:spacing w:line="240" w:lineRule="auto"/>
        <w:ind w:left="133" w:right="0" w:firstLine="0"/>
        <w:rPr>
          <w:sz w:val="20"/>
        </w:rPr>
      </w:pPr>
      <w:r>
        <w:rPr>
          <w:position w:val="1"/>
          <w:sz w:val="20"/>
        </w:rPr>
        <w:pict>
          <v:shape style="width:102.5pt;height:16.1pt;mso-position-horizontal-relative:char;mso-position-vertical-relative:line" type="#_x0000_t202" filled="true" fillcolor="#dd0805" stroked="false">
            <w10:anchorlock/>
            <v:textbox inset="0,0,0,0">
              <w:txbxContent>
                <w:p>
                  <w:pPr>
                    <w:spacing w:before="75"/>
                    <w:ind w:left="455" w:right="0" w:firstLine="0"/>
                    <w:jc w:val="left"/>
                    <w:rPr>
                      <w:b/>
                      <w:sz w:val="13"/>
                    </w:rPr>
                  </w:pPr>
                  <w:r>
                    <w:rPr>
                      <w:b/>
                      <w:color w:val="FFFFFF"/>
                      <w:sz w:val="13"/>
                    </w:rPr>
                    <w:t>APPLICATIONS</w:t>
                  </w:r>
                </w:p>
              </w:txbxContent>
            </v:textbox>
            <v:fill type="solid"/>
          </v:shape>
        </w:pict>
      </w:r>
      <w:r>
        <w:rPr>
          <w:position w:val="1"/>
          <w:sz w:val="20"/>
        </w:rPr>
      </w:r>
      <w:r>
        <w:rPr>
          <w:rFonts w:ascii="Times New Roman"/>
          <w:spacing w:val="82"/>
          <w:position w:val="1"/>
          <w:sz w:val="20"/>
        </w:rPr>
        <w:t> </w:t>
      </w:r>
      <w:r>
        <w:rPr>
          <w:spacing w:val="82"/>
          <w:sz w:val="20"/>
        </w:rPr>
        <w:pict>
          <v:shape style="width:118.85pt;height:16pt;mso-position-horizontal-relative:char;mso-position-vertical-relative:line" type="#_x0000_t202" filled="true" fillcolor="#dd0805" stroked="true" strokeweight=".47998pt" strokecolor="#808080">
            <w10:anchorlock/>
            <v:textbox inset="0,0,0,0">
              <w:txbxContent>
                <w:p>
                  <w:pPr>
                    <w:spacing w:before="71"/>
                    <w:ind w:left="789" w:right="787" w:firstLine="0"/>
                    <w:jc w:val="center"/>
                    <w:rPr>
                      <w:b/>
                      <w:sz w:val="13"/>
                    </w:rPr>
                  </w:pPr>
                  <w:r>
                    <w:rPr>
                      <w:b/>
                      <w:color w:val="FFFFFF"/>
                      <w:sz w:val="13"/>
                    </w:rPr>
                    <w:t>FEATURES</w:t>
                  </w:r>
                </w:p>
              </w:txbxContent>
            </v:textbox>
            <v:fill type="solid"/>
            <v:stroke dashstyle="solid"/>
          </v:shape>
        </w:pict>
      </w:r>
      <w:r>
        <w:rPr>
          <w:spacing w:val="82"/>
          <w:sz w:val="20"/>
        </w:rPr>
      </w:r>
      <w:r>
        <w:rPr>
          <w:rFonts w:ascii="Times New Roman"/>
          <w:spacing w:val="89"/>
          <w:sz w:val="20"/>
        </w:rPr>
        <w:t> </w:t>
      </w:r>
      <w:r>
        <w:rPr>
          <w:spacing w:val="89"/>
          <w:sz w:val="20"/>
        </w:rPr>
        <w:pict>
          <v:shape style="width:122.45pt;height:16pt;mso-position-horizontal-relative:char;mso-position-vertical-relative:line" type="#_x0000_t202" filled="true" fillcolor="#dd0805" stroked="true" strokeweight=".47998pt" strokecolor="#808080">
            <w10:anchorlock/>
            <v:textbox inset="0,0,0,0">
              <w:txbxContent>
                <w:p>
                  <w:pPr>
                    <w:spacing w:before="71"/>
                    <w:ind w:left="132" w:right="0" w:firstLine="0"/>
                    <w:jc w:val="left"/>
                    <w:rPr>
                      <w:b/>
                      <w:sz w:val="13"/>
                    </w:rPr>
                  </w:pPr>
                  <w:r>
                    <w:rPr>
                      <w:b/>
                      <w:color w:val="FFFFFF"/>
                      <w:sz w:val="13"/>
                    </w:rPr>
                    <w:t>RECOMMENDED SUBSTRATES</w:t>
                  </w:r>
                </w:p>
              </w:txbxContent>
            </v:textbox>
            <v:fill type="solid"/>
            <v:stroke dashstyle="solid"/>
          </v:shape>
        </w:pict>
      </w:r>
      <w:r>
        <w:rPr>
          <w:spacing w:val="89"/>
          <w:sz w:val="20"/>
        </w:rPr>
      </w:r>
      <w:r>
        <w:rPr>
          <w:rFonts w:ascii="Times New Roman"/>
          <w:spacing w:val="100"/>
          <w:sz w:val="20"/>
        </w:rPr>
        <w:t> </w:t>
      </w:r>
      <w:r>
        <w:rPr>
          <w:spacing w:val="100"/>
          <w:sz w:val="20"/>
        </w:rPr>
        <w:pict>
          <v:group style="width:106.35pt;height:16.45pt;mso-position-horizontal-relative:char;mso-position-vertical-relative:line" coordorigin="0,0" coordsize="2127,329">
            <v:rect style="position:absolute;left:4;top:4;width:2120;height:322" filled="true" fillcolor="#dd0805" stroked="false">
              <v:fill type="solid"/>
            </v:rect>
            <v:line style="position:absolute" from="5,0" to="5,329" stroked="true" strokeweight=".48001pt" strokecolor="#808080">
              <v:stroke dashstyle="solid"/>
            </v:line>
            <v:line style="position:absolute" from="2122,10" to="2122,329" stroked="true" strokeweight=".47998pt" strokecolor="#808080">
              <v:stroke dashstyle="solid"/>
            </v:line>
            <v:line style="position:absolute" from="10,5" to="2127,5" stroked="true" strokeweight=".48001pt" strokecolor="#808080">
              <v:stroke dashstyle="solid"/>
            </v:line>
            <v:line style="position:absolute" from="10,324" to="2127,324" stroked="true" strokeweight=".48pt" strokecolor="#808080">
              <v:stroke dashstyle="solid"/>
            </v:line>
          </v:group>
        </w:pict>
      </w:r>
      <w:r>
        <w:rPr>
          <w:spacing w:val="100"/>
          <w:sz w:val="20"/>
        </w:rPr>
      </w:r>
    </w:p>
    <w:p>
      <w:pPr>
        <w:spacing w:after="0" w:line="240" w:lineRule="auto"/>
        <w:rPr>
          <w:sz w:val="20"/>
        </w:rPr>
        <w:sectPr>
          <w:type w:val="continuous"/>
          <w:pgSz w:w="12240" w:h="15840"/>
          <w:pgMar w:top="1140" w:bottom="280" w:left="1220" w:right="1280"/>
        </w:sectPr>
      </w:pPr>
    </w:p>
    <w:p>
      <w:pPr>
        <w:pStyle w:val="ListParagraph"/>
        <w:numPr>
          <w:ilvl w:val="0"/>
          <w:numId w:val="1"/>
        </w:numPr>
        <w:tabs>
          <w:tab w:pos="273" w:val="left" w:leader="none"/>
        </w:tabs>
        <w:spacing w:line="144" w:lineRule="exact" w:before="0" w:after="0"/>
        <w:ind w:left="272" w:right="0" w:hanging="117"/>
        <w:jc w:val="left"/>
        <w:rPr>
          <w:sz w:val="13"/>
        </w:rPr>
      </w:pPr>
      <w:r>
        <w:rPr>
          <w:sz w:val="13"/>
        </w:rPr>
        <w:t>Electronic</w:t>
      </w:r>
      <w:r>
        <w:rPr>
          <w:spacing w:val="5"/>
          <w:sz w:val="13"/>
        </w:rPr>
        <w:t> </w:t>
      </w:r>
      <w:r>
        <w:rPr>
          <w:sz w:val="13"/>
        </w:rPr>
        <w:t>encapsulation</w:t>
      </w:r>
    </w:p>
    <w:p>
      <w:pPr>
        <w:pStyle w:val="ListParagraph"/>
        <w:numPr>
          <w:ilvl w:val="0"/>
          <w:numId w:val="1"/>
        </w:numPr>
        <w:tabs>
          <w:tab w:pos="273" w:val="left" w:leader="none"/>
        </w:tabs>
        <w:spacing w:line="144" w:lineRule="exact" w:before="0" w:after="0"/>
        <w:ind w:left="272" w:right="0" w:hanging="117"/>
        <w:jc w:val="left"/>
        <w:rPr>
          <w:sz w:val="13"/>
        </w:rPr>
      </w:pPr>
      <w:r>
        <w:rPr>
          <w:spacing w:val="-1"/>
          <w:w w:val="101"/>
          <w:sz w:val="13"/>
        </w:rPr>
        <w:br w:type="column"/>
      </w:r>
      <w:r>
        <w:rPr>
          <w:sz w:val="13"/>
        </w:rPr>
        <w:t>Two part convenient mix</w:t>
      </w:r>
      <w:r>
        <w:rPr>
          <w:spacing w:val="-1"/>
          <w:sz w:val="13"/>
        </w:rPr>
        <w:t> </w:t>
      </w:r>
      <w:r>
        <w:rPr>
          <w:sz w:val="13"/>
        </w:rPr>
        <w:t>ratio</w:t>
      </w:r>
    </w:p>
    <w:p>
      <w:pPr>
        <w:pStyle w:val="ListParagraph"/>
        <w:numPr>
          <w:ilvl w:val="0"/>
          <w:numId w:val="1"/>
        </w:numPr>
        <w:tabs>
          <w:tab w:pos="273" w:val="left" w:leader="none"/>
        </w:tabs>
        <w:spacing w:line="240" w:lineRule="auto" w:before="65" w:after="0"/>
        <w:ind w:left="272" w:right="0" w:hanging="117"/>
        <w:jc w:val="left"/>
        <w:rPr>
          <w:sz w:val="13"/>
        </w:rPr>
      </w:pPr>
      <w:r>
        <w:rPr>
          <w:sz w:val="13"/>
        </w:rPr>
        <w:t>Room temperature</w:t>
      </w:r>
      <w:r>
        <w:rPr>
          <w:spacing w:val="-2"/>
          <w:sz w:val="13"/>
        </w:rPr>
        <w:t> </w:t>
      </w:r>
      <w:r>
        <w:rPr>
          <w:sz w:val="13"/>
        </w:rPr>
        <w:t>cure</w:t>
      </w:r>
    </w:p>
    <w:p>
      <w:pPr>
        <w:pStyle w:val="ListParagraph"/>
        <w:numPr>
          <w:ilvl w:val="0"/>
          <w:numId w:val="1"/>
        </w:numPr>
        <w:tabs>
          <w:tab w:pos="273" w:val="left" w:leader="none"/>
        </w:tabs>
        <w:spacing w:line="240" w:lineRule="auto" w:before="65" w:after="0"/>
        <w:ind w:left="272" w:right="0" w:hanging="117"/>
        <w:jc w:val="left"/>
        <w:rPr>
          <w:sz w:val="13"/>
        </w:rPr>
      </w:pPr>
      <w:r>
        <w:rPr>
          <w:sz w:val="13"/>
        </w:rPr>
        <w:t>Moisture</w:t>
      </w:r>
      <w:r>
        <w:rPr>
          <w:spacing w:val="9"/>
          <w:sz w:val="13"/>
        </w:rPr>
        <w:t> </w:t>
      </w:r>
      <w:r>
        <w:rPr>
          <w:sz w:val="13"/>
        </w:rPr>
        <w:t>resistant</w:t>
      </w:r>
    </w:p>
    <w:p>
      <w:pPr>
        <w:pStyle w:val="ListParagraph"/>
        <w:numPr>
          <w:ilvl w:val="0"/>
          <w:numId w:val="1"/>
        </w:numPr>
        <w:tabs>
          <w:tab w:pos="273" w:val="left" w:leader="none"/>
        </w:tabs>
        <w:spacing w:line="240" w:lineRule="auto" w:before="65" w:after="0"/>
        <w:ind w:left="272" w:right="0" w:hanging="117"/>
        <w:jc w:val="left"/>
        <w:rPr>
          <w:sz w:val="13"/>
        </w:rPr>
      </w:pPr>
      <w:r>
        <w:rPr>
          <w:sz w:val="13"/>
        </w:rPr>
        <w:t>Chemical</w:t>
      </w:r>
      <w:r>
        <w:rPr>
          <w:spacing w:val="9"/>
          <w:sz w:val="13"/>
        </w:rPr>
        <w:t> </w:t>
      </w:r>
      <w:r>
        <w:rPr>
          <w:sz w:val="13"/>
        </w:rPr>
        <w:t>resistant</w:t>
      </w:r>
    </w:p>
    <w:p>
      <w:pPr>
        <w:pStyle w:val="ListParagraph"/>
        <w:numPr>
          <w:ilvl w:val="0"/>
          <w:numId w:val="1"/>
        </w:numPr>
        <w:tabs>
          <w:tab w:pos="273" w:val="left" w:leader="none"/>
        </w:tabs>
        <w:spacing w:line="240" w:lineRule="auto" w:before="66" w:after="0"/>
        <w:ind w:left="272" w:right="0" w:hanging="117"/>
        <w:jc w:val="left"/>
        <w:rPr>
          <w:sz w:val="13"/>
        </w:rPr>
      </w:pPr>
      <w:r>
        <w:rPr>
          <w:sz w:val="13"/>
        </w:rPr>
        <w:t>Physical shock</w:t>
      </w:r>
      <w:r>
        <w:rPr>
          <w:spacing w:val="-1"/>
          <w:sz w:val="13"/>
        </w:rPr>
        <w:t> </w:t>
      </w:r>
      <w:r>
        <w:rPr>
          <w:sz w:val="13"/>
        </w:rPr>
        <w:t>resistant</w:t>
      </w:r>
    </w:p>
    <w:p>
      <w:pPr>
        <w:spacing w:after="0" w:line="240" w:lineRule="auto"/>
        <w:jc w:val="left"/>
        <w:rPr>
          <w:sz w:val="13"/>
        </w:rPr>
        <w:sectPr>
          <w:type w:val="continuous"/>
          <w:pgSz w:w="12240" w:h="15840"/>
          <w:pgMar w:top="1140" w:bottom="280" w:left="1220" w:right="1280"/>
          <w:cols w:num="2" w:equalWidth="0">
            <w:col w:w="1916" w:space="290"/>
            <w:col w:w="7534"/>
          </w:cols>
        </w:sectPr>
      </w:pPr>
    </w:p>
    <w:p>
      <w:pPr>
        <w:pStyle w:val="BodyText"/>
        <w:spacing w:before="11"/>
        <w:rPr>
          <w:sz w:val="15"/>
        </w:rPr>
      </w:pPr>
    </w:p>
    <w:tbl>
      <w:tblPr>
        <w:tblW w:w="0" w:type="auto"/>
        <w:jc w:val="left"/>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9"/>
        <w:gridCol w:w="2767"/>
        <w:gridCol w:w="2950"/>
      </w:tblGrid>
      <w:tr>
        <w:trPr>
          <w:trHeight w:val="246" w:hRule="atLeast"/>
        </w:trPr>
        <w:tc>
          <w:tcPr>
            <w:tcW w:w="8756" w:type="dxa"/>
            <w:gridSpan w:val="3"/>
            <w:shd w:val="clear" w:color="auto" w:fill="DD0805"/>
          </w:tcPr>
          <w:p>
            <w:pPr>
              <w:pStyle w:val="TableParagraph"/>
              <w:spacing w:before="29"/>
              <w:ind w:left="3383" w:right="3370"/>
              <w:jc w:val="center"/>
              <w:rPr>
                <w:b/>
                <w:sz w:val="15"/>
              </w:rPr>
            </w:pPr>
            <w:r>
              <w:rPr>
                <w:b/>
                <w:color w:val="FFFFFF"/>
                <w:sz w:val="15"/>
              </w:rPr>
              <w:t>UNCURED PROPERTIES</w:t>
            </w:r>
          </w:p>
        </w:tc>
      </w:tr>
      <w:tr>
        <w:trPr>
          <w:trHeight w:val="213" w:hRule="atLeast"/>
        </w:trPr>
        <w:tc>
          <w:tcPr>
            <w:tcW w:w="3039" w:type="dxa"/>
            <w:shd w:val="clear" w:color="auto" w:fill="C0C0C0"/>
          </w:tcPr>
          <w:p>
            <w:pPr>
              <w:pStyle w:val="TableParagraph"/>
              <w:ind w:left="1184" w:right="1170"/>
              <w:jc w:val="center"/>
              <w:rPr>
                <w:b/>
                <w:sz w:val="13"/>
              </w:rPr>
            </w:pPr>
            <w:r>
              <w:rPr>
                <w:b/>
                <w:sz w:val="13"/>
              </w:rPr>
              <w:t>Property</w:t>
            </w:r>
          </w:p>
        </w:tc>
        <w:tc>
          <w:tcPr>
            <w:tcW w:w="2767" w:type="dxa"/>
            <w:shd w:val="clear" w:color="auto" w:fill="C0C0C0"/>
          </w:tcPr>
          <w:p>
            <w:pPr>
              <w:pStyle w:val="TableParagraph"/>
              <w:ind w:left="1159" w:right="1148"/>
              <w:jc w:val="center"/>
              <w:rPr>
                <w:b/>
                <w:sz w:val="13"/>
              </w:rPr>
            </w:pPr>
            <w:r>
              <w:rPr>
                <w:b/>
                <w:sz w:val="13"/>
              </w:rPr>
              <w:t>Value</w:t>
            </w:r>
          </w:p>
        </w:tc>
        <w:tc>
          <w:tcPr>
            <w:tcW w:w="2950" w:type="dxa"/>
            <w:shd w:val="clear" w:color="auto" w:fill="C0C0C0"/>
          </w:tcPr>
          <w:p>
            <w:pPr>
              <w:pStyle w:val="TableParagraph"/>
              <w:ind w:left="1008" w:right="994"/>
              <w:jc w:val="center"/>
              <w:rPr>
                <w:b/>
                <w:sz w:val="13"/>
              </w:rPr>
            </w:pPr>
            <w:r>
              <w:rPr>
                <w:b/>
                <w:sz w:val="13"/>
              </w:rPr>
              <w:t>Test Method</w:t>
            </w:r>
          </w:p>
        </w:tc>
      </w:tr>
      <w:tr>
        <w:trPr>
          <w:trHeight w:val="213" w:hRule="atLeast"/>
        </w:trPr>
        <w:tc>
          <w:tcPr>
            <w:tcW w:w="3039" w:type="dxa"/>
          </w:tcPr>
          <w:p>
            <w:pPr>
              <w:pStyle w:val="TableParagraph"/>
              <w:ind w:left="30"/>
              <w:rPr>
                <w:sz w:val="13"/>
              </w:rPr>
            </w:pPr>
            <w:r>
              <w:rPr>
                <w:sz w:val="13"/>
              </w:rPr>
              <w:t>Solvent Content</w:t>
            </w:r>
          </w:p>
        </w:tc>
        <w:tc>
          <w:tcPr>
            <w:tcW w:w="2767" w:type="dxa"/>
          </w:tcPr>
          <w:p>
            <w:pPr>
              <w:pStyle w:val="TableParagraph"/>
              <w:rPr>
                <w:sz w:val="13"/>
              </w:rPr>
            </w:pPr>
            <w:r>
              <w:rPr>
                <w:sz w:val="13"/>
              </w:rPr>
              <w:t>No Nonreactive Solvents</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Chemical Class, PT A:B</w:t>
            </w:r>
          </w:p>
        </w:tc>
        <w:tc>
          <w:tcPr>
            <w:tcW w:w="2767" w:type="dxa"/>
          </w:tcPr>
          <w:p>
            <w:pPr>
              <w:pStyle w:val="TableParagraph"/>
              <w:rPr>
                <w:sz w:val="13"/>
              </w:rPr>
            </w:pPr>
            <w:r>
              <w:rPr>
                <w:sz w:val="13"/>
              </w:rPr>
              <w:t>Epoxy : Amine</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Color, PT A:B</w:t>
            </w:r>
          </w:p>
        </w:tc>
        <w:tc>
          <w:tcPr>
            <w:tcW w:w="2767" w:type="dxa"/>
          </w:tcPr>
          <w:p>
            <w:pPr>
              <w:pStyle w:val="TableParagraph"/>
              <w:rPr>
                <w:sz w:val="13"/>
              </w:rPr>
            </w:pPr>
            <w:r>
              <w:rPr>
                <w:sz w:val="13"/>
              </w:rPr>
              <w:t>Black : Tan</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Viscosity, PT A @ 25C, cps</w:t>
            </w:r>
          </w:p>
        </w:tc>
        <w:tc>
          <w:tcPr>
            <w:tcW w:w="2767" w:type="dxa"/>
          </w:tcPr>
          <w:p>
            <w:pPr>
              <w:pStyle w:val="TableParagraph"/>
              <w:rPr>
                <w:sz w:val="13"/>
              </w:rPr>
            </w:pPr>
            <w:r>
              <w:rPr>
                <w:sz w:val="13"/>
              </w:rPr>
              <w:t>16,500 to 50,000</w:t>
            </w:r>
          </w:p>
        </w:tc>
        <w:tc>
          <w:tcPr>
            <w:tcW w:w="2950" w:type="dxa"/>
          </w:tcPr>
          <w:p>
            <w:pPr>
              <w:pStyle w:val="TableParagraph"/>
              <w:rPr>
                <w:sz w:val="13"/>
              </w:rPr>
            </w:pPr>
            <w:r>
              <w:rPr>
                <w:sz w:val="13"/>
              </w:rPr>
              <w:t>QPTEST001</w:t>
            </w:r>
          </w:p>
        </w:tc>
      </w:tr>
      <w:tr>
        <w:trPr>
          <w:trHeight w:val="213" w:hRule="atLeast"/>
        </w:trPr>
        <w:tc>
          <w:tcPr>
            <w:tcW w:w="3039" w:type="dxa"/>
          </w:tcPr>
          <w:p>
            <w:pPr>
              <w:pStyle w:val="TableParagraph"/>
              <w:ind w:left="30"/>
              <w:rPr>
                <w:sz w:val="13"/>
              </w:rPr>
            </w:pPr>
            <w:r>
              <w:rPr>
                <w:sz w:val="13"/>
              </w:rPr>
              <w:t>Viscosity, PT B @ 25C, cps</w:t>
            </w:r>
          </w:p>
        </w:tc>
        <w:tc>
          <w:tcPr>
            <w:tcW w:w="2767" w:type="dxa"/>
          </w:tcPr>
          <w:p>
            <w:pPr>
              <w:pStyle w:val="TableParagraph"/>
              <w:rPr>
                <w:sz w:val="13"/>
              </w:rPr>
            </w:pPr>
            <w:r>
              <w:rPr>
                <w:sz w:val="13"/>
              </w:rPr>
              <w:t>20,000 to 36,000</w:t>
            </w:r>
          </w:p>
        </w:tc>
        <w:tc>
          <w:tcPr>
            <w:tcW w:w="2950" w:type="dxa"/>
          </w:tcPr>
          <w:p>
            <w:pPr>
              <w:pStyle w:val="TableParagraph"/>
              <w:rPr>
                <w:sz w:val="13"/>
              </w:rPr>
            </w:pPr>
            <w:r>
              <w:rPr>
                <w:sz w:val="13"/>
              </w:rPr>
              <w:t>QPTEST001</w:t>
            </w:r>
          </w:p>
        </w:tc>
      </w:tr>
      <w:tr>
        <w:trPr>
          <w:trHeight w:val="213" w:hRule="atLeast"/>
        </w:trPr>
        <w:tc>
          <w:tcPr>
            <w:tcW w:w="3039" w:type="dxa"/>
          </w:tcPr>
          <w:p>
            <w:pPr>
              <w:pStyle w:val="TableParagraph"/>
              <w:ind w:left="30"/>
              <w:rPr>
                <w:sz w:val="13"/>
              </w:rPr>
            </w:pPr>
            <w:r>
              <w:rPr>
                <w:sz w:val="13"/>
              </w:rPr>
              <w:t>Specific Gravity, PT A</w:t>
            </w:r>
          </w:p>
        </w:tc>
        <w:tc>
          <w:tcPr>
            <w:tcW w:w="2767" w:type="dxa"/>
          </w:tcPr>
          <w:p>
            <w:pPr>
              <w:pStyle w:val="TableParagraph"/>
              <w:rPr>
                <w:sz w:val="13"/>
              </w:rPr>
            </w:pPr>
            <w:r>
              <w:rPr>
                <w:sz w:val="13"/>
              </w:rPr>
              <w:t>2.34</w:t>
            </w:r>
          </w:p>
        </w:tc>
        <w:tc>
          <w:tcPr>
            <w:tcW w:w="2950" w:type="dxa"/>
          </w:tcPr>
          <w:p>
            <w:pPr>
              <w:pStyle w:val="TableParagraph"/>
              <w:rPr>
                <w:sz w:val="13"/>
              </w:rPr>
            </w:pPr>
            <w:r>
              <w:rPr>
                <w:sz w:val="13"/>
              </w:rPr>
              <w:t>QPTEST002</w:t>
            </w:r>
          </w:p>
        </w:tc>
      </w:tr>
      <w:tr>
        <w:trPr>
          <w:trHeight w:val="213" w:hRule="atLeast"/>
        </w:trPr>
        <w:tc>
          <w:tcPr>
            <w:tcW w:w="3039" w:type="dxa"/>
          </w:tcPr>
          <w:p>
            <w:pPr>
              <w:pStyle w:val="TableParagraph"/>
              <w:ind w:left="30"/>
              <w:rPr>
                <w:sz w:val="13"/>
              </w:rPr>
            </w:pPr>
            <w:r>
              <w:rPr>
                <w:sz w:val="13"/>
              </w:rPr>
              <w:t>Specific Gravity, PT B</w:t>
            </w:r>
          </w:p>
        </w:tc>
        <w:tc>
          <w:tcPr>
            <w:tcW w:w="2767" w:type="dxa"/>
          </w:tcPr>
          <w:p>
            <w:pPr>
              <w:pStyle w:val="TableParagraph"/>
              <w:rPr>
                <w:sz w:val="13"/>
              </w:rPr>
            </w:pPr>
            <w:r>
              <w:rPr>
                <w:sz w:val="13"/>
              </w:rPr>
              <w:t>1.57</w:t>
            </w:r>
          </w:p>
        </w:tc>
        <w:tc>
          <w:tcPr>
            <w:tcW w:w="2950" w:type="dxa"/>
          </w:tcPr>
          <w:p>
            <w:pPr>
              <w:pStyle w:val="TableParagraph"/>
              <w:rPr>
                <w:sz w:val="13"/>
              </w:rPr>
            </w:pPr>
            <w:r>
              <w:rPr>
                <w:sz w:val="13"/>
              </w:rPr>
              <w:t>QPTEST002</w:t>
            </w:r>
          </w:p>
        </w:tc>
      </w:tr>
      <w:tr>
        <w:trPr>
          <w:trHeight w:val="213" w:hRule="atLeast"/>
        </w:trPr>
        <w:tc>
          <w:tcPr>
            <w:tcW w:w="3039" w:type="dxa"/>
          </w:tcPr>
          <w:p>
            <w:pPr>
              <w:pStyle w:val="TableParagraph"/>
              <w:ind w:left="30"/>
              <w:rPr>
                <w:sz w:val="13"/>
              </w:rPr>
            </w:pPr>
            <w:r>
              <w:rPr>
                <w:sz w:val="13"/>
              </w:rPr>
              <w:t>Filler Base</w:t>
            </w:r>
          </w:p>
        </w:tc>
        <w:tc>
          <w:tcPr>
            <w:tcW w:w="2767" w:type="dxa"/>
          </w:tcPr>
          <w:p>
            <w:pPr>
              <w:pStyle w:val="TableParagraph"/>
              <w:rPr>
                <w:sz w:val="13"/>
              </w:rPr>
            </w:pPr>
            <w:r>
              <w:rPr>
                <w:sz w:val="13"/>
              </w:rPr>
              <w:t>Tabular Alumina</w:t>
            </w:r>
          </w:p>
        </w:tc>
        <w:tc>
          <w:tcPr>
            <w:tcW w:w="2950" w:type="dxa"/>
          </w:tcPr>
          <w:p>
            <w:pPr>
              <w:pStyle w:val="TableParagraph"/>
              <w:rPr>
                <w:sz w:val="13"/>
              </w:rPr>
            </w:pPr>
            <w:r>
              <w:rPr>
                <w:sz w:val="13"/>
              </w:rPr>
              <w:t>N/A</w:t>
            </w:r>
          </w:p>
        </w:tc>
      </w:tr>
    </w:tbl>
    <w:p>
      <w:pPr>
        <w:pStyle w:val="BodyText"/>
        <w:spacing w:before="8"/>
        <w:rPr>
          <w:sz w:val="9"/>
        </w:rPr>
      </w:pPr>
    </w:p>
    <w:tbl>
      <w:tblPr>
        <w:tblW w:w="0" w:type="auto"/>
        <w:jc w:val="left"/>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9"/>
        <w:gridCol w:w="2767"/>
        <w:gridCol w:w="2950"/>
      </w:tblGrid>
      <w:tr>
        <w:trPr>
          <w:trHeight w:val="247" w:hRule="atLeast"/>
        </w:trPr>
        <w:tc>
          <w:tcPr>
            <w:tcW w:w="8756" w:type="dxa"/>
            <w:gridSpan w:val="3"/>
            <w:shd w:val="clear" w:color="auto" w:fill="DD0805"/>
          </w:tcPr>
          <w:p>
            <w:pPr>
              <w:pStyle w:val="TableParagraph"/>
              <w:spacing w:before="29"/>
              <w:ind w:left="2904"/>
              <w:rPr>
                <w:b/>
                <w:sz w:val="15"/>
              </w:rPr>
            </w:pPr>
            <w:r>
              <w:rPr>
                <w:b/>
                <w:color w:val="FFFFFF"/>
                <w:sz w:val="15"/>
              </w:rPr>
              <w:t>CURED MECHANICAL PROPERTIES</w:t>
            </w:r>
          </w:p>
        </w:tc>
      </w:tr>
      <w:tr>
        <w:trPr>
          <w:trHeight w:val="213" w:hRule="atLeast"/>
        </w:trPr>
        <w:tc>
          <w:tcPr>
            <w:tcW w:w="3039" w:type="dxa"/>
            <w:shd w:val="clear" w:color="auto" w:fill="C0C0C0"/>
          </w:tcPr>
          <w:p>
            <w:pPr>
              <w:pStyle w:val="TableParagraph"/>
              <w:ind w:left="1184" w:right="1170"/>
              <w:jc w:val="center"/>
              <w:rPr>
                <w:b/>
                <w:sz w:val="13"/>
              </w:rPr>
            </w:pPr>
            <w:r>
              <w:rPr>
                <w:b/>
                <w:sz w:val="13"/>
              </w:rPr>
              <w:t>Property</w:t>
            </w:r>
          </w:p>
        </w:tc>
        <w:tc>
          <w:tcPr>
            <w:tcW w:w="2767" w:type="dxa"/>
            <w:shd w:val="clear" w:color="auto" w:fill="C0C0C0"/>
          </w:tcPr>
          <w:p>
            <w:pPr>
              <w:pStyle w:val="TableParagraph"/>
              <w:ind w:left="1159" w:right="1148"/>
              <w:jc w:val="center"/>
              <w:rPr>
                <w:b/>
                <w:sz w:val="13"/>
              </w:rPr>
            </w:pPr>
            <w:r>
              <w:rPr>
                <w:b/>
                <w:sz w:val="13"/>
              </w:rPr>
              <w:t>Value</w:t>
            </w:r>
          </w:p>
        </w:tc>
        <w:tc>
          <w:tcPr>
            <w:tcW w:w="2950" w:type="dxa"/>
            <w:shd w:val="clear" w:color="auto" w:fill="C0C0C0"/>
          </w:tcPr>
          <w:p>
            <w:pPr>
              <w:pStyle w:val="TableParagraph"/>
              <w:ind w:left="1008" w:right="994"/>
              <w:jc w:val="center"/>
              <w:rPr>
                <w:b/>
                <w:sz w:val="13"/>
              </w:rPr>
            </w:pPr>
            <w:r>
              <w:rPr>
                <w:b/>
                <w:sz w:val="13"/>
              </w:rPr>
              <w:t>Test Method</w:t>
            </w:r>
          </w:p>
        </w:tc>
      </w:tr>
      <w:tr>
        <w:trPr>
          <w:trHeight w:val="213" w:hRule="atLeast"/>
        </w:trPr>
        <w:tc>
          <w:tcPr>
            <w:tcW w:w="3039" w:type="dxa"/>
          </w:tcPr>
          <w:p>
            <w:pPr>
              <w:pStyle w:val="TableParagraph"/>
              <w:ind w:left="30"/>
              <w:rPr>
                <w:sz w:val="13"/>
              </w:rPr>
            </w:pPr>
            <w:r>
              <w:rPr>
                <w:sz w:val="13"/>
              </w:rPr>
              <w:t>Durometer Hardness, Shore D</w:t>
            </w:r>
          </w:p>
        </w:tc>
        <w:tc>
          <w:tcPr>
            <w:tcW w:w="2767" w:type="dxa"/>
          </w:tcPr>
          <w:p>
            <w:pPr>
              <w:pStyle w:val="TableParagraph"/>
              <w:rPr>
                <w:sz w:val="13"/>
              </w:rPr>
            </w:pPr>
            <w:r>
              <w:rPr>
                <w:sz w:val="13"/>
              </w:rPr>
              <w:t>55 to 65</w:t>
            </w:r>
          </w:p>
        </w:tc>
        <w:tc>
          <w:tcPr>
            <w:tcW w:w="2950" w:type="dxa"/>
          </w:tcPr>
          <w:p>
            <w:pPr>
              <w:pStyle w:val="TableParagraph"/>
              <w:rPr>
                <w:sz w:val="13"/>
              </w:rPr>
            </w:pPr>
            <w:r>
              <w:rPr>
                <w:sz w:val="13"/>
              </w:rPr>
              <w:t>QPTEST012</w:t>
            </w:r>
          </w:p>
        </w:tc>
      </w:tr>
      <w:tr>
        <w:trPr>
          <w:trHeight w:val="213" w:hRule="atLeast"/>
        </w:trPr>
        <w:tc>
          <w:tcPr>
            <w:tcW w:w="3039" w:type="dxa"/>
          </w:tcPr>
          <w:p>
            <w:pPr>
              <w:pStyle w:val="TableParagraph"/>
              <w:ind w:left="30"/>
              <w:rPr>
                <w:sz w:val="13"/>
              </w:rPr>
            </w:pPr>
            <w:r>
              <w:rPr>
                <w:sz w:val="13"/>
              </w:rPr>
              <w:t>Moisture Resistance</w:t>
            </w:r>
          </w:p>
        </w:tc>
        <w:tc>
          <w:tcPr>
            <w:tcW w:w="2767" w:type="dxa"/>
          </w:tcPr>
          <w:p>
            <w:pPr>
              <w:pStyle w:val="TableParagraph"/>
              <w:rPr>
                <w:sz w:val="13"/>
              </w:rPr>
            </w:pPr>
            <w:r>
              <w:rPr>
                <w:sz w:val="13"/>
              </w:rPr>
              <w:t>Excellent</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CTE, C, -40 to 80C, ppm</w:t>
            </w:r>
          </w:p>
        </w:tc>
        <w:tc>
          <w:tcPr>
            <w:tcW w:w="2767" w:type="dxa"/>
          </w:tcPr>
          <w:p>
            <w:pPr>
              <w:pStyle w:val="TableParagraph"/>
              <w:rPr>
                <w:sz w:val="13"/>
              </w:rPr>
            </w:pPr>
            <w:r>
              <w:rPr>
                <w:sz w:val="13"/>
              </w:rPr>
              <w:t>38</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Peak Intermittent Temperature, C</w:t>
            </w:r>
          </w:p>
        </w:tc>
        <w:tc>
          <w:tcPr>
            <w:tcW w:w="2767" w:type="dxa"/>
          </w:tcPr>
          <w:p>
            <w:pPr>
              <w:pStyle w:val="TableParagraph"/>
              <w:rPr>
                <w:sz w:val="13"/>
              </w:rPr>
            </w:pPr>
            <w:r>
              <w:rPr>
                <w:sz w:val="13"/>
              </w:rPr>
              <w:t>180</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Thermal Conductivity, BTU in/hr-ft^2, F</w:t>
            </w:r>
          </w:p>
        </w:tc>
        <w:tc>
          <w:tcPr>
            <w:tcW w:w="2767" w:type="dxa"/>
          </w:tcPr>
          <w:p>
            <w:pPr>
              <w:pStyle w:val="TableParagraph"/>
              <w:rPr>
                <w:sz w:val="13"/>
              </w:rPr>
            </w:pPr>
            <w:r>
              <w:rPr>
                <w:w w:val="101"/>
                <w:sz w:val="13"/>
              </w:rPr>
              <w:t>9</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Thermal Conductivity, W/Meter, K</w:t>
            </w:r>
          </w:p>
        </w:tc>
        <w:tc>
          <w:tcPr>
            <w:tcW w:w="2767" w:type="dxa"/>
          </w:tcPr>
          <w:p>
            <w:pPr>
              <w:pStyle w:val="TableParagraph"/>
              <w:rPr>
                <w:sz w:val="13"/>
              </w:rPr>
            </w:pPr>
            <w:r>
              <w:rPr>
                <w:sz w:val="13"/>
              </w:rPr>
              <w:t>1.29</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Glass Transition Temperature (Tg), C</w:t>
            </w:r>
          </w:p>
        </w:tc>
        <w:tc>
          <w:tcPr>
            <w:tcW w:w="2767" w:type="dxa"/>
          </w:tcPr>
          <w:p>
            <w:pPr>
              <w:pStyle w:val="TableParagraph"/>
              <w:rPr>
                <w:sz w:val="13"/>
              </w:rPr>
            </w:pPr>
            <w:r>
              <w:rPr>
                <w:sz w:val="13"/>
              </w:rPr>
              <w:t>31.45</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Comparative Tracking Index, volts</w:t>
            </w:r>
          </w:p>
        </w:tc>
        <w:tc>
          <w:tcPr>
            <w:tcW w:w="2767" w:type="dxa"/>
          </w:tcPr>
          <w:p>
            <w:pPr>
              <w:pStyle w:val="TableParagraph"/>
              <w:rPr>
                <w:sz w:val="13"/>
              </w:rPr>
            </w:pPr>
            <w:r>
              <w:rPr>
                <w:sz w:val="13"/>
              </w:rPr>
              <w:t>&gt;175</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Dielectric Strength, Volt/mil</w:t>
            </w:r>
          </w:p>
        </w:tc>
        <w:tc>
          <w:tcPr>
            <w:tcW w:w="2767" w:type="dxa"/>
          </w:tcPr>
          <w:p>
            <w:pPr>
              <w:pStyle w:val="TableParagraph"/>
              <w:rPr>
                <w:sz w:val="13"/>
              </w:rPr>
            </w:pPr>
            <w:r>
              <w:rPr>
                <w:sz w:val="13"/>
              </w:rPr>
              <w:t>&gt;500</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Dissipation Factor, 1MHz</w:t>
            </w:r>
          </w:p>
        </w:tc>
        <w:tc>
          <w:tcPr>
            <w:tcW w:w="2767" w:type="dxa"/>
          </w:tcPr>
          <w:p>
            <w:pPr>
              <w:pStyle w:val="TableParagraph"/>
              <w:rPr>
                <w:sz w:val="13"/>
              </w:rPr>
            </w:pPr>
            <w:r>
              <w:rPr>
                <w:sz w:val="13"/>
              </w:rPr>
              <w:t>0.0024</w:t>
            </w:r>
          </w:p>
        </w:tc>
        <w:tc>
          <w:tcPr>
            <w:tcW w:w="2950" w:type="dxa"/>
          </w:tcPr>
          <w:p>
            <w:pPr>
              <w:pStyle w:val="TableParagraph"/>
              <w:rPr>
                <w:sz w:val="13"/>
              </w:rPr>
            </w:pPr>
            <w:r>
              <w:rPr>
                <w:sz w:val="13"/>
              </w:rPr>
              <w:t>QPTEST011</w:t>
            </w:r>
          </w:p>
        </w:tc>
      </w:tr>
      <w:tr>
        <w:trPr>
          <w:trHeight w:val="211" w:hRule="atLeast"/>
        </w:trPr>
        <w:tc>
          <w:tcPr>
            <w:tcW w:w="3039" w:type="dxa"/>
            <w:tcBorders>
              <w:bottom w:val="single" w:sz="6" w:space="0" w:color="000000"/>
            </w:tcBorders>
          </w:tcPr>
          <w:p>
            <w:pPr>
              <w:pStyle w:val="TableParagraph"/>
              <w:ind w:left="30"/>
              <w:rPr>
                <w:sz w:val="13"/>
              </w:rPr>
            </w:pPr>
            <w:r>
              <w:rPr>
                <w:sz w:val="13"/>
              </w:rPr>
              <w:t>Operational Temperature Range, C</w:t>
            </w:r>
          </w:p>
        </w:tc>
        <w:tc>
          <w:tcPr>
            <w:tcW w:w="2767" w:type="dxa"/>
            <w:tcBorders>
              <w:bottom w:val="single" w:sz="6" w:space="0" w:color="000000"/>
            </w:tcBorders>
          </w:tcPr>
          <w:p>
            <w:pPr>
              <w:pStyle w:val="TableParagraph"/>
              <w:rPr>
                <w:sz w:val="13"/>
              </w:rPr>
            </w:pPr>
            <w:r>
              <w:rPr>
                <w:sz w:val="13"/>
              </w:rPr>
              <w:t>-50 to 155</w:t>
            </w:r>
          </w:p>
        </w:tc>
        <w:tc>
          <w:tcPr>
            <w:tcW w:w="2950" w:type="dxa"/>
            <w:tcBorders>
              <w:bottom w:val="single" w:sz="6" w:space="0" w:color="000000"/>
            </w:tcBorders>
          </w:tcPr>
          <w:p>
            <w:pPr>
              <w:pStyle w:val="TableParagraph"/>
              <w:rPr>
                <w:sz w:val="13"/>
              </w:rPr>
            </w:pPr>
            <w:r>
              <w:rPr>
                <w:sz w:val="13"/>
              </w:rPr>
              <w:t>N/A</w:t>
            </w:r>
          </w:p>
        </w:tc>
      </w:tr>
    </w:tbl>
    <w:p>
      <w:pPr>
        <w:pStyle w:val="BodyText"/>
        <w:spacing w:before="3"/>
        <w:rPr>
          <w:sz w:val="8"/>
        </w:rPr>
      </w:pPr>
    </w:p>
    <w:tbl>
      <w:tblPr>
        <w:tblW w:w="0" w:type="auto"/>
        <w:jc w:val="left"/>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9"/>
        <w:gridCol w:w="2767"/>
        <w:gridCol w:w="2950"/>
      </w:tblGrid>
      <w:tr>
        <w:trPr>
          <w:trHeight w:val="246" w:hRule="atLeast"/>
        </w:trPr>
        <w:tc>
          <w:tcPr>
            <w:tcW w:w="8756" w:type="dxa"/>
            <w:gridSpan w:val="3"/>
            <w:shd w:val="clear" w:color="auto" w:fill="DD0805"/>
          </w:tcPr>
          <w:p>
            <w:pPr>
              <w:pStyle w:val="TableParagraph"/>
              <w:spacing w:before="29"/>
              <w:ind w:left="3383" w:right="3370"/>
              <w:jc w:val="center"/>
              <w:rPr>
                <w:b/>
                <w:sz w:val="15"/>
              </w:rPr>
            </w:pPr>
            <w:r>
              <w:rPr>
                <w:b/>
                <w:color w:val="FFFFFF"/>
                <w:sz w:val="15"/>
              </w:rPr>
              <w:t>CURE OVERVIEW</w:t>
            </w:r>
          </w:p>
        </w:tc>
      </w:tr>
      <w:tr>
        <w:trPr>
          <w:trHeight w:val="213" w:hRule="atLeast"/>
        </w:trPr>
        <w:tc>
          <w:tcPr>
            <w:tcW w:w="3039" w:type="dxa"/>
            <w:shd w:val="clear" w:color="auto" w:fill="C0C0C0"/>
          </w:tcPr>
          <w:p>
            <w:pPr>
              <w:pStyle w:val="TableParagraph"/>
              <w:ind w:left="1184" w:right="1170"/>
              <w:jc w:val="center"/>
              <w:rPr>
                <w:b/>
                <w:sz w:val="13"/>
              </w:rPr>
            </w:pPr>
            <w:r>
              <w:rPr>
                <w:b/>
                <w:sz w:val="13"/>
              </w:rPr>
              <w:t>Property</w:t>
            </w:r>
          </w:p>
        </w:tc>
        <w:tc>
          <w:tcPr>
            <w:tcW w:w="2767" w:type="dxa"/>
            <w:shd w:val="clear" w:color="auto" w:fill="C0C0C0"/>
          </w:tcPr>
          <w:p>
            <w:pPr>
              <w:pStyle w:val="TableParagraph"/>
              <w:ind w:left="1159" w:right="1148"/>
              <w:jc w:val="center"/>
              <w:rPr>
                <w:b/>
                <w:sz w:val="13"/>
              </w:rPr>
            </w:pPr>
            <w:r>
              <w:rPr>
                <w:b/>
                <w:sz w:val="13"/>
              </w:rPr>
              <w:t>Value</w:t>
            </w:r>
          </w:p>
        </w:tc>
        <w:tc>
          <w:tcPr>
            <w:tcW w:w="2950" w:type="dxa"/>
            <w:shd w:val="clear" w:color="auto" w:fill="C0C0C0"/>
          </w:tcPr>
          <w:p>
            <w:pPr>
              <w:pStyle w:val="TableParagraph"/>
              <w:ind w:left="1008" w:right="994"/>
              <w:jc w:val="center"/>
              <w:rPr>
                <w:b/>
                <w:sz w:val="13"/>
              </w:rPr>
            </w:pPr>
            <w:r>
              <w:rPr>
                <w:b/>
                <w:sz w:val="13"/>
              </w:rPr>
              <w:t>Test Method</w:t>
            </w:r>
          </w:p>
        </w:tc>
      </w:tr>
      <w:tr>
        <w:trPr>
          <w:trHeight w:val="213" w:hRule="atLeast"/>
        </w:trPr>
        <w:tc>
          <w:tcPr>
            <w:tcW w:w="3039" w:type="dxa"/>
          </w:tcPr>
          <w:p>
            <w:pPr>
              <w:pStyle w:val="TableParagraph"/>
              <w:ind w:left="30"/>
              <w:rPr>
                <w:sz w:val="13"/>
              </w:rPr>
            </w:pPr>
            <w:r>
              <w:rPr>
                <w:sz w:val="13"/>
              </w:rPr>
              <w:t>Mix ratio by Volume, PT A:B</w:t>
            </w:r>
          </w:p>
        </w:tc>
        <w:tc>
          <w:tcPr>
            <w:tcW w:w="2767" w:type="dxa"/>
          </w:tcPr>
          <w:p>
            <w:pPr>
              <w:pStyle w:val="TableParagraph"/>
              <w:rPr>
                <w:sz w:val="13"/>
              </w:rPr>
            </w:pPr>
            <w:r>
              <w:rPr>
                <w:sz w:val="13"/>
              </w:rPr>
              <w:t>1:1</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Work Life @ RT, min</w:t>
            </w:r>
          </w:p>
        </w:tc>
        <w:tc>
          <w:tcPr>
            <w:tcW w:w="2767" w:type="dxa"/>
          </w:tcPr>
          <w:p>
            <w:pPr>
              <w:pStyle w:val="TableParagraph"/>
              <w:rPr>
                <w:sz w:val="13"/>
              </w:rPr>
            </w:pPr>
            <w:r>
              <w:rPr>
                <w:sz w:val="13"/>
              </w:rPr>
              <w:t>60</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Gel Time @ RT, min, 100g</w:t>
            </w:r>
          </w:p>
        </w:tc>
        <w:tc>
          <w:tcPr>
            <w:tcW w:w="2767" w:type="dxa"/>
          </w:tcPr>
          <w:p>
            <w:pPr>
              <w:pStyle w:val="TableParagraph"/>
              <w:rPr>
                <w:sz w:val="13"/>
              </w:rPr>
            </w:pPr>
            <w:r>
              <w:rPr>
                <w:sz w:val="13"/>
              </w:rPr>
              <w:t>198</w:t>
            </w:r>
          </w:p>
        </w:tc>
        <w:tc>
          <w:tcPr>
            <w:tcW w:w="2950" w:type="dxa"/>
          </w:tcPr>
          <w:p>
            <w:pPr>
              <w:pStyle w:val="TableParagraph"/>
              <w:rPr>
                <w:sz w:val="13"/>
              </w:rPr>
            </w:pPr>
            <w:r>
              <w:rPr>
                <w:sz w:val="13"/>
              </w:rPr>
              <w:t>QPTEST020</w:t>
            </w:r>
          </w:p>
        </w:tc>
      </w:tr>
      <w:tr>
        <w:trPr>
          <w:trHeight w:val="213" w:hRule="atLeast"/>
        </w:trPr>
        <w:tc>
          <w:tcPr>
            <w:tcW w:w="3039" w:type="dxa"/>
          </w:tcPr>
          <w:p>
            <w:pPr>
              <w:pStyle w:val="TableParagraph"/>
              <w:ind w:left="30"/>
              <w:rPr>
                <w:sz w:val="13"/>
              </w:rPr>
            </w:pPr>
            <w:r>
              <w:rPr>
                <w:sz w:val="13"/>
              </w:rPr>
              <w:t>Cure Time @ RT, hr</w:t>
            </w:r>
          </w:p>
        </w:tc>
        <w:tc>
          <w:tcPr>
            <w:tcW w:w="2767" w:type="dxa"/>
          </w:tcPr>
          <w:p>
            <w:pPr>
              <w:pStyle w:val="TableParagraph"/>
              <w:rPr>
                <w:sz w:val="13"/>
              </w:rPr>
            </w:pPr>
            <w:r>
              <w:rPr>
                <w:sz w:val="13"/>
              </w:rPr>
              <w:t>24 to 48</w:t>
            </w:r>
          </w:p>
        </w:tc>
        <w:tc>
          <w:tcPr>
            <w:tcW w:w="2950" w:type="dxa"/>
          </w:tcPr>
          <w:p>
            <w:pPr>
              <w:pStyle w:val="TableParagraph"/>
              <w:rPr>
                <w:sz w:val="13"/>
              </w:rPr>
            </w:pPr>
            <w:r>
              <w:rPr>
                <w:sz w:val="13"/>
              </w:rPr>
              <w:t>N/A</w:t>
            </w:r>
          </w:p>
        </w:tc>
      </w:tr>
      <w:tr>
        <w:trPr>
          <w:trHeight w:val="213" w:hRule="atLeast"/>
        </w:trPr>
        <w:tc>
          <w:tcPr>
            <w:tcW w:w="3039" w:type="dxa"/>
          </w:tcPr>
          <w:p>
            <w:pPr>
              <w:pStyle w:val="TableParagraph"/>
              <w:ind w:left="30"/>
              <w:rPr>
                <w:sz w:val="13"/>
              </w:rPr>
            </w:pPr>
            <w:r>
              <w:rPr>
                <w:sz w:val="13"/>
              </w:rPr>
              <w:t>Cure Time @ 65C, min</w:t>
            </w:r>
          </w:p>
        </w:tc>
        <w:tc>
          <w:tcPr>
            <w:tcW w:w="2767" w:type="dxa"/>
          </w:tcPr>
          <w:p>
            <w:pPr>
              <w:pStyle w:val="TableParagraph"/>
              <w:rPr>
                <w:sz w:val="13"/>
              </w:rPr>
            </w:pPr>
            <w:r>
              <w:rPr>
                <w:sz w:val="13"/>
              </w:rPr>
              <w:t>120</w:t>
            </w:r>
          </w:p>
        </w:tc>
        <w:tc>
          <w:tcPr>
            <w:tcW w:w="2950" w:type="dxa"/>
          </w:tcPr>
          <w:p>
            <w:pPr>
              <w:pStyle w:val="TableParagraph"/>
              <w:rPr>
                <w:sz w:val="13"/>
              </w:rPr>
            </w:pPr>
            <w:r>
              <w:rPr>
                <w:sz w:val="13"/>
              </w:rPr>
              <w:t>N/A</w:t>
            </w:r>
          </w:p>
        </w:tc>
      </w:tr>
    </w:tbl>
    <w:p>
      <w:pPr>
        <w:pStyle w:val="BodyText"/>
        <w:spacing w:before="11"/>
        <w:rPr>
          <w:sz w:val="7"/>
        </w:rPr>
      </w:pPr>
    </w:p>
    <w:p>
      <w:pPr>
        <w:pStyle w:val="Heading1"/>
        <w:spacing w:before="102"/>
        <w:ind w:left="157"/>
      </w:pPr>
      <w:r>
        <w:rPr/>
        <w:t>Storage:</w:t>
      </w:r>
    </w:p>
    <w:p>
      <w:pPr>
        <w:pStyle w:val="BodyText"/>
        <w:spacing w:line="259" w:lineRule="auto" w:before="34"/>
        <w:ind w:left="155" w:right="262"/>
      </w:pPr>
      <w:r>
        <w:rPr/>
        <w:t>Store material in cool, dry location at a temperature between 10°C to 28°C. Keep from freezing. Refer to packaging specific quote for shelf life information. Consult SDS for safe handling</w:t>
      </w:r>
      <w:r>
        <w:rPr>
          <w:spacing w:val="-3"/>
        </w:rPr>
        <w:t> </w:t>
      </w:r>
      <w:r>
        <w:rPr/>
        <w:t>recommendations.</w:t>
      </w:r>
    </w:p>
    <w:p>
      <w:pPr>
        <w:pStyle w:val="BodyText"/>
        <w:spacing w:before="11"/>
        <w:rPr>
          <w:sz w:val="11"/>
        </w:rPr>
      </w:pPr>
    </w:p>
    <w:p>
      <w:pPr>
        <w:pStyle w:val="BodyText"/>
        <w:tabs>
          <w:tab w:pos="5289" w:val="left" w:leader="none"/>
        </w:tabs>
        <w:spacing w:before="102"/>
        <w:ind w:left="2882"/>
      </w:pPr>
      <w:r>
        <w:rPr/>
        <w:pict>
          <v:line style="position:absolute;mso-position-horizontal-relative:page;mso-position-vertical-relative:paragraph;z-index:-880;mso-wrap-distance-left:0;mso-wrap-distance-right:0" from="67.199997pt,15.954922pt" to="542.519997pt,15.954922pt" stroked="true" strokeweight=".47998pt" strokecolor="#900000">
            <v:stroke dashstyle="solid"/>
            <w10:wrap type="topAndBottom"/>
          </v:line>
        </w:pict>
      </w:r>
      <w:r>
        <w:rPr/>
        <w:t>Revision</w:t>
      </w:r>
      <w:r>
        <w:rPr>
          <w:spacing w:val="2"/>
        </w:rPr>
        <w:t> </w:t>
      </w:r>
      <w:r>
        <w:rPr/>
        <w:t>Number:</w:t>
      </w:r>
      <w:r>
        <w:rPr>
          <w:spacing w:val="1"/>
        </w:rPr>
        <w:t> </w:t>
      </w:r>
      <w:r>
        <w:rPr/>
        <w:t>8</w:t>
        <w:tab/>
        <w:t>Date: 26 October,</w:t>
      </w:r>
      <w:r>
        <w:rPr>
          <w:spacing w:val="-1"/>
        </w:rPr>
        <w:t> </w:t>
      </w:r>
      <w:r>
        <w:rPr/>
        <w:t>2016</w:t>
      </w:r>
    </w:p>
    <w:p>
      <w:pPr>
        <w:spacing w:before="87"/>
        <w:ind w:left="656" w:right="0" w:firstLine="0"/>
        <w:jc w:val="left"/>
        <w:rPr>
          <w:sz w:val="14"/>
        </w:rPr>
      </w:pPr>
      <w:r>
        <w:rPr>
          <w:w w:val="105"/>
          <w:sz w:val="14"/>
        </w:rPr>
        <w:t>Resin Designs, LLC 11 State Street Woburn, MA 01801 </w:t>
      </w:r>
      <w:hyperlink r:id="rId6">
        <w:r>
          <w:rPr>
            <w:w w:val="105"/>
            <w:sz w:val="14"/>
          </w:rPr>
          <w:t>www.resindesigns.com</w:t>
        </w:r>
      </w:hyperlink>
      <w:r>
        <w:rPr>
          <w:w w:val="105"/>
          <w:sz w:val="14"/>
        </w:rPr>
        <w:t> P 781-935-3133 F 781-935-3144</w:t>
      </w:r>
    </w:p>
    <w:p>
      <w:pPr>
        <w:spacing w:line="264" w:lineRule="auto" w:before="138"/>
        <w:ind w:left="181" w:right="168" w:hanging="2"/>
        <w:jc w:val="center"/>
        <w:rPr>
          <w:b/>
          <w:sz w:val="12"/>
        </w:rPr>
      </w:pPr>
      <w:r>
        <w:rPr>
          <w:b/>
          <w:sz w:val="12"/>
        </w:rPr>
        <w:t>RESIN DESIGNS, LLC MAKES NO EXPRESS OR IMPLIED REPRESENTATIONS OR WARRANTIES, INCLUDING WARRANTIES OF MERCHANTABILITY OR FITNESS FOR A PARTICULAR PURPOSE OR OTHERWISE, WITH RESPECT TO THIS PRODUCT AND GUARANTEES NO PARTICULAR OUTCOME OR RESULT FROM ITS USE. RESIN DESIGNS' LIABILITY TO CUSTOMER WITH RESPECT TO THIS PRODUCT SHALL IN NO EVENT EXCEED THE AMOUNT PAID BY CUSTOMER FOR IT.</w:t>
      </w:r>
    </w:p>
    <w:sectPr>
      <w:type w:val="continuous"/>
      <w:pgSz w:w="12240" w:h="15840"/>
      <w:pgMar w:top="1140" w:bottom="280" w:left="122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72" w:hanging="118"/>
      </w:pPr>
      <w:rPr>
        <w:rFonts w:hint="default" w:ascii="Verdana" w:hAnsi="Verdana" w:eastAsia="Verdana" w:cs="Verdana"/>
        <w:w w:val="101"/>
        <w:sz w:val="13"/>
        <w:szCs w:val="13"/>
        <w:lang w:val="en-us" w:eastAsia="en-us" w:bidi="en-us"/>
      </w:rPr>
    </w:lvl>
    <w:lvl w:ilvl="1">
      <w:start w:val="0"/>
      <w:numFmt w:val="bullet"/>
      <w:lvlText w:val="•"/>
      <w:lvlJc w:val="left"/>
      <w:pPr>
        <w:ind w:left="443" w:hanging="118"/>
      </w:pPr>
      <w:rPr>
        <w:rFonts w:hint="default"/>
        <w:lang w:val="en-us" w:eastAsia="en-us" w:bidi="en-us"/>
      </w:rPr>
    </w:lvl>
    <w:lvl w:ilvl="2">
      <w:start w:val="0"/>
      <w:numFmt w:val="bullet"/>
      <w:lvlText w:val="•"/>
      <w:lvlJc w:val="left"/>
      <w:pPr>
        <w:ind w:left="607" w:hanging="118"/>
      </w:pPr>
      <w:rPr>
        <w:rFonts w:hint="default"/>
        <w:lang w:val="en-us" w:eastAsia="en-us" w:bidi="en-us"/>
      </w:rPr>
    </w:lvl>
    <w:lvl w:ilvl="3">
      <w:start w:val="0"/>
      <w:numFmt w:val="bullet"/>
      <w:lvlText w:val="•"/>
      <w:lvlJc w:val="left"/>
      <w:pPr>
        <w:ind w:left="770" w:hanging="118"/>
      </w:pPr>
      <w:rPr>
        <w:rFonts w:hint="default"/>
        <w:lang w:val="en-us" w:eastAsia="en-us" w:bidi="en-us"/>
      </w:rPr>
    </w:lvl>
    <w:lvl w:ilvl="4">
      <w:start w:val="0"/>
      <w:numFmt w:val="bullet"/>
      <w:lvlText w:val="•"/>
      <w:lvlJc w:val="left"/>
      <w:pPr>
        <w:ind w:left="934" w:hanging="118"/>
      </w:pPr>
      <w:rPr>
        <w:rFonts w:hint="default"/>
        <w:lang w:val="en-us" w:eastAsia="en-us" w:bidi="en-us"/>
      </w:rPr>
    </w:lvl>
    <w:lvl w:ilvl="5">
      <w:start w:val="0"/>
      <w:numFmt w:val="bullet"/>
      <w:lvlText w:val="•"/>
      <w:lvlJc w:val="left"/>
      <w:pPr>
        <w:ind w:left="1097" w:hanging="118"/>
      </w:pPr>
      <w:rPr>
        <w:rFonts w:hint="default"/>
        <w:lang w:val="en-us" w:eastAsia="en-us" w:bidi="en-us"/>
      </w:rPr>
    </w:lvl>
    <w:lvl w:ilvl="6">
      <w:start w:val="0"/>
      <w:numFmt w:val="bullet"/>
      <w:lvlText w:val="•"/>
      <w:lvlJc w:val="left"/>
      <w:pPr>
        <w:ind w:left="1261" w:hanging="118"/>
      </w:pPr>
      <w:rPr>
        <w:rFonts w:hint="default"/>
        <w:lang w:val="en-us" w:eastAsia="en-us" w:bidi="en-us"/>
      </w:rPr>
    </w:lvl>
    <w:lvl w:ilvl="7">
      <w:start w:val="0"/>
      <w:numFmt w:val="bullet"/>
      <w:lvlText w:val="•"/>
      <w:lvlJc w:val="left"/>
      <w:pPr>
        <w:ind w:left="1425" w:hanging="118"/>
      </w:pPr>
      <w:rPr>
        <w:rFonts w:hint="default"/>
        <w:lang w:val="en-us" w:eastAsia="en-us" w:bidi="en-us"/>
      </w:rPr>
    </w:lvl>
    <w:lvl w:ilvl="8">
      <w:start w:val="0"/>
      <w:numFmt w:val="bullet"/>
      <w:lvlText w:val="•"/>
      <w:lvlJc w:val="left"/>
      <w:pPr>
        <w:ind w:left="1588" w:hanging="118"/>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en-us"/>
    </w:rPr>
  </w:style>
  <w:style w:styleId="BodyText" w:type="paragraph">
    <w:name w:val="Body Text"/>
    <w:basedOn w:val="Normal"/>
    <w:uiPriority w:val="1"/>
    <w:qFormat/>
    <w:pPr/>
    <w:rPr>
      <w:rFonts w:ascii="Verdana" w:hAnsi="Verdana" w:eastAsia="Verdana" w:cs="Verdana"/>
      <w:sz w:val="13"/>
      <w:szCs w:val="13"/>
      <w:lang w:val="en-us" w:eastAsia="en-us" w:bidi="en-us"/>
    </w:rPr>
  </w:style>
  <w:style w:styleId="Heading1" w:type="paragraph">
    <w:name w:val="Heading 1"/>
    <w:basedOn w:val="Normal"/>
    <w:uiPriority w:val="1"/>
    <w:qFormat/>
    <w:pPr>
      <w:spacing w:before="71"/>
      <w:ind w:left="132"/>
      <w:outlineLvl w:val="1"/>
    </w:pPr>
    <w:rPr>
      <w:rFonts w:ascii="Verdana" w:hAnsi="Verdana" w:eastAsia="Verdana" w:cs="Verdana"/>
      <w:b/>
      <w:bCs/>
      <w:sz w:val="13"/>
      <w:szCs w:val="13"/>
      <w:lang w:val="en-us" w:eastAsia="en-us" w:bidi="en-us"/>
    </w:rPr>
  </w:style>
  <w:style w:styleId="ListParagraph" w:type="paragraph">
    <w:name w:val="List Paragraph"/>
    <w:basedOn w:val="Normal"/>
    <w:uiPriority w:val="1"/>
    <w:qFormat/>
    <w:pPr>
      <w:spacing w:before="65"/>
      <w:ind w:left="272" w:hanging="117"/>
    </w:pPr>
    <w:rPr>
      <w:rFonts w:ascii="Verdana" w:hAnsi="Verdana" w:eastAsia="Verdana" w:cs="Verdana"/>
      <w:lang w:val="en-us" w:eastAsia="en-us" w:bidi="en-us"/>
    </w:rPr>
  </w:style>
  <w:style w:styleId="TableParagraph" w:type="paragraph">
    <w:name w:val="Table Paragraph"/>
    <w:basedOn w:val="Normal"/>
    <w:uiPriority w:val="1"/>
    <w:qFormat/>
    <w:pPr>
      <w:spacing w:before="22"/>
      <w:ind w:left="31"/>
    </w:pPr>
    <w:rPr>
      <w:rFonts w:ascii="Verdana" w:hAnsi="Verdana" w:eastAsia="Verdana" w:cs="Verdan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resindesign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Pallotta</dc:creator>
  <dcterms:created xsi:type="dcterms:W3CDTF">2019-07-18T18:48:10Z</dcterms:created>
  <dcterms:modified xsi:type="dcterms:W3CDTF">2019-07-18T18:48:10Z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2016-10-26T00:00:00Z</vt:filetime>
  </property>
  <property fmtid="{D5CDD505-2E9C-101B-9397-08002B2CF9AE}" pid="3" name="Creator">
    <vt:lpwstr>Microsoft® Excel® 2013</vt:lpwstr>
  </property>
  <property fmtid="{D5CDD505-2E9C-101B-9397-08002B2CF9AE}" pid="4" name="LastSaved">
    <vt:filetime>2019-07-18T00:00:00Z</vt:filetime>
  </property>
</Properties>
</file>